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95A5" w14:textId="5AE6D1D3" w:rsidR="00A60BCB" w:rsidRPr="00BD7CCF" w:rsidRDefault="00A60BCB" w:rsidP="009747FA">
      <w:pPr>
        <w:jc w:val="center"/>
        <w:rPr>
          <w:rFonts w:asciiTheme="minorHAnsi" w:hAnsiTheme="minorHAnsi" w:cstheme="minorHAnsi"/>
          <w:b/>
          <w:sz w:val="28"/>
          <w:szCs w:val="22"/>
          <w:lang w:val="de-DE"/>
        </w:rPr>
      </w:pPr>
      <w:r w:rsidRPr="00BD7CCF">
        <w:rPr>
          <w:rFonts w:asciiTheme="minorHAnsi" w:hAnsiTheme="minorHAnsi" w:cstheme="minorHAnsi"/>
          <w:b/>
          <w:sz w:val="28"/>
          <w:szCs w:val="22"/>
          <w:lang w:val="de-DE"/>
        </w:rPr>
        <w:t>Wissen zu</w:t>
      </w:r>
      <w:r w:rsidR="00E26ADC">
        <w:rPr>
          <w:rFonts w:asciiTheme="minorHAnsi" w:hAnsiTheme="minorHAnsi" w:cstheme="minorHAnsi"/>
          <w:b/>
          <w:sz w:val="28"/>
          <w:szCs w:val="22"/>
          <w:lang w:val="de-DE"/>
        </w:rPr>
        <w:t>m</w:t>
      </w:r>
      <w:r w:rsidRPr="00BD7CCF">
        <w:rPr>
          <w:rFonts w:asciiTheme="minorHAnsi" w:hAnsiTheme="minorHAnsi" w:cstheme="minorHAnsi"/>
          <w:b/>
          <w:sz w:val="28"/>
          <w:szCs w:val="22"/>
          <w:lang w:val="de-DE"/>
        </w:rPr>
        <w:t xml:space="preserve"> Delir</w:t>
      </w:r>
    </w:p>
    <w:p w14:paraId="56E3B06F" w14:textId="77777777" w:rsidR="00A60BCB" w:rsidRPr="00BD7CCF" w:rsidRDefault="00A60BCB" w:rsidP="00BD7CCF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7F475D3" w14:textId="4E4F341D" w:rsidR="00232847" w:rsidRPr="00BD7CCF" w:rsidRDefault="00232847" w:rsidP="00BD7CCF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D7CCF">
        <w:rPr>
          <w:rFonts w:asciiTheme="minorHAnsi" w:hAnsiTheme="minorHAnsi" w:cstheme="minorHAnsi"/>
          <w:b/>
          <w:sz w:val="22"/>
          <w:szCs w:val="22"/>
          <w:lang w:val="de-DE"/>
        </w:rPr>
        <w:t>Welche der folgenden Symptomkomplexe beschreibt oder definiert das Delir am besten? (Wählen Sie die zutreffendste Antwort)</w:t>
      </w:r>
    </w:p>
    <w:p w14:paraId="7859283E" w14:textId="77777777" w:rsidR="00A60BCB" w:rsidRPr="00BD7CCF" w:rsidRDefault="00A60BCB" w:rsidP="00BD7CC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F69D7D3" w14:textId="0A70BA9F" w:rsidR="00A60BCB" w:rsidRPr="00BD7CCF" w:rsidRDefault="00A60BCB" w:rsidP="00BD7CCF">
      <w:pPr>
        <w:tabs>
          <w:tab w:val="left" w:pos="1418"/>
        </w:tabs>
        <w:spacing w:line="288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D7CCF">
        <w:rPr>
          <w:rFonts w:asciiTheme="minorHAnsi" w:hAnsiTheme="minorHAnsi" w:cstheme="minorHAnsi"/>
          <w:sz w:val="22"/>
          <w:szCs w:val="22"/>
          <w:lang w:val="de-DE"/>
        </w:rPr>
        <w:t xml:space="preserve">a)      </w:t>
      </w:r>
      <w:r w:rsidR="00232847" w:rsidRPr="00BD7CCF">
        <w:rPr>
          <w:rFonts w:asciiTheme="minorHAnsi" w:hAnsiTheme="minorHAnsi" w:cstheme="minorHAnsi"/>
          <w:sz w:val="22"/>
          <w:szCs w:val="22"/>
          <w:lang w:val="de-DE"/>
        </w:rPr>
        <w:t>O</w:t>
      </w:r>
      <w:r w:rsidR="00232847" w:rsidRPr="00BD7CCF">
        <w:rPr>
          <w:rFonts w:asciiTheme="minorHAnsi" w:hAnsiTheme="minorHAnsi" w:cstheme="minorHAnsi"/>
          <w:sz w:val="22"/>
          <w:szCs w:val="22"/>
          <w:lang w:val="de-DE"/>
        </w:rPr>
        <w:tab/>
        <w:t>Verge</w:t>
      </w:r>
      <w:r w:rsidRPr="00BD7CCF">
        <w:rPr>
          <w:rFonts w:asciiTheme="minorHAnsi" w:hAnsiTheme="minorHAnsi" w:cstheme="minorHAnsi"/>
          <w:sz w:val="22"/>
          <w:szCs w:val="22"/>
          <w:lang w:val="de-DE"/>
        </w:rPr>
        <w:t>sslich</w:t>
      </w:r>
      <w:r w:rsidR="005465E1" w:rsidRPr="00BD7CC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5465E1" w:rsidRPr="00BD7CCF">
        <w:rPr>
          <w:rFonts w:asciiTheme="minorHAnsi" w:hAnsiTheme="minorHAnsi" w:cstheme="minorHAnsi"/>
          <w:sz w:val="22"/>
          <w:szCs w:val="22"/>
          <w:lang w:val="de-DE"/>
        </w:rPr>
        <w:t>Amnes</w:t>
      </w:r>
      <w:r w:rsidR="00934BB6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5465E1" w:rsidRPr="00BD7CCF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934BB6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5465E1" w:rsidRPr="00BD7CCF">
        <w:rPr>
          <w:rFonts w:asciiTheme="minorHAnsi" w:hAnsiTheme="minorHAnsi" w:cstheme="minorHAnsi"/>
          <w:sz w:val="22"/>
          <w:szCs w:val="22"/>
          <w:lang w:val="de-DE"/>
        </w:rPr>
        <w:t>ch</w:t>
      </w:r>
      <w:proofErr w:type="spellEnd"/>
      <w:r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, schläfrig, plötzlich einsetzende Inkontinenz, unkontrollierter Speichelfluss, unorganisiertes Denken</w:t>
      </w:r>
    </w:p>
    <w:p w14:paraId="6A897285" w14:textId="682CD07B" w:rsidR="00A60BCB" w:rsidRPr="00BD7CCF" w:rsidRDefault="00A60BCB" w:rsidP="00BD7CCF">
      <w:pPr>
        <w:spacing w:line="288" w:lineRule="auto"/>
        <w:ind w:left="1440" w:hanging="1440"/>
        <w:jc w:val="both"/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  <w:r w:rsidRPr="00BD7CCF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>b)      O</w:t>
      </w:r>
      <w:r w:rsidRPr="00BD7CCF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ab/>
      </w:r>
      <w:r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>Ak</w:t>
      </w:r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ute </w:t>
      </w:r>
      <w:proofErr w:type="spellStart"/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>Verwirrheit</w:t>
      </w:r>
      <w:proofErr w:type="spellEnd"/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, </w:t>
      </w:r>
      <w:proofErr w:type="spellStart"/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>flukturierende</w:t>
      </w:r>
      <w:proofErr w:type="spellEnd"/>
      <w:r w:rsidR="00785AAC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 (schwankende)</w:t>
      </w:r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 Aufmerksamkeits- und Bewusstseinszustand</w:t>
      </w:r>
      <w:r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, </w:t>
      </w:r>
      <w:r w:rsidR="005465E1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>unorganisiertes Denken</w:t>
      </w:r>
      <w:r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>,</w:t>
      </w:r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 veränderte</w:t>
      </w:r>
      <w:r w:rsidR="000D491C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>r</w:t>
      </w:r>
      <w:r w:rsidR="006625CA" w:rsidRPr="00BD7CCF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 Bewusstseinsgrad</w:t>
      </w:r>
    </w:p>
    <w:p w14:paraId="35FB5359" w14:textId="32327D3F" w:rsidR="00A60BCB" w:rsidRPr="00BD7CCF" w:rsidRDefault="00A60BCB" w:rsidP="00BD7CCF">
      <w:pPr>
        <w:tabs>
          <w:tab w:val="left" w:pos="1418"/>
        </w:tabs>
        <w:spacing w:line="288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D7CCF">
        <w:rPr>
          <w:rFonts w:asciiTheme="minorHAnsi" w:hAnsiTheme="minorHAnsi" w:cstheme="minorHAnsi"/>
          <w:sz w:val="22"/>
          <w:szCs w:val="22"/>
          <w:lang w:val="de-DE"/>
        </w:rPr>
        <w:t>c)      O</w:t>
      </w:r>
      <w:r w:rsidRPr="00BD7CCF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625CA" w:rsidRPr="00BD7CCF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ngstzustände, Diaphorese</w:t>
      </w:r>
      <w:r w:rsidR="006625CA"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/ Schwitzen</w:t>
      </w:r>
      <w:r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, Zi</w:t>
      </w:r>
      <w:r w:rsidR="000F2C19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 xml:space="preserve">ttern, Muskelschwäche, </w:t>
      </w:r>
      <w:proofErr w:type="spellStart"/>
      <w:r w:rsidR="000F2C19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Dysphasie</w:t>
      </w:r>
      <w:proofErr w:type="spellEnd"/>
      <w:r w:rsidR="006625CA"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, veränderte</w:t>
      </w:r>
      <w:r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 xml:space="preserve"> Erregungs</w:t>
      </w:r>
      <w:r w:rsidR="00A74F63"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zustand</w:t>
      </w:r>
    </w:p>
    <w:p w14:paraId="63F214E5" w14:textId="3C42FFD7" w:rsidR="009E6C54" w:rsidRPr="00BD7CCF" w:rsidRDefault="00A60BCB" w:rsidP="00BD7CCF">
      <w:pPr>
        <w:tabs>
          <w:tab w:val="left" w:pos="1418"/>
        </w:tabs>
        <w:spacing w:line="288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D7CCF">
        <w:rPr>
          <w:rFonts w:asciiTheme="minorHAnsi" w:hAnsiTheme="minorHAnsi" w:cstheme="minorHAnsi"/>
          <w:sz w:val="22"/>
          <w:szCs w:val="22"/>
          <w:lang w:val="de-DE"/>
        </w:rPr>
        <w:t>d)      O</w:t>
      </w:r>
      <w:r w:rsidRPr="00BD7CCF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 xml:space="preserve">Langsames Einsetzen von Verwirrung, Gedächtnisverlust, </w:t>
      </w:r>
      <w:r w:rsidR="006625CA"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Desorientierung,</w:t>
      </w:r>
      <w:r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 xml:space="preserve"> mangelnder Spontanität, Persönlichkeitsveränderung.</w:t>
      </w:r>
    </w:p>
    <w:p w14:paraId="5347B1EA" w14:textId="0FB59241" w:rsidR="00BD6DBF" w:rsidRDefault="00BD6DBF" w:rsidP="00BD7CCF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43B88175" w14:textId="77777777" w:rsidR="000035AC" w:rsidRPr="00BD7CCF" w:rsidRDefault="000035AC" w:rsidP="00BD7CCF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5CBF293" w14:textId="2516C12F" w:rsidR="004F6661" w:rsidRPr="00CE550B" w:rsidRDefault="00A60BCB" w:rsidP="00BD7CCF">
      <w:pPr>
        <w:tabs>
          <w:tab w:val="left" w:pos="0"/>
        </w:tabs>
        <w:spacing w:line="360" w:lineRule="auto"/>
        <w:jc w:val="both"/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</w:pPr>
      <w:r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>D</w:t>
      </w:r>
      <w:r w:rsidR="00E47ADD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>ie folgenden Bewertungs</w:t>
      </w:r>
      <w:r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 xml:space="preserve">instrumente werden </w:t>
      </w:r>
      <w:r w:rsidR="00542305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 xml:space="preserve">häufig verwendet, um bestimmte </w:t>
      </w:r>
      <w:r w:rsidR="00516E7A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 xml:space="preserve">Erkrankungen </w:t>
      </w:r>
      <w:r w:rsidR="00A74F63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 xml:space="preserve">zu </w:t>
      </w:r>
      <w:r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 xml:space="preserve">erkennen. </w:t>
      </w:r>
      <w:r w:rsidR="00A74F63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>Ordnen Sie die jeweiligen Bewertungsinstrumente der/</w:t>
      </w:r>
      <w:proofErr w:type="gramStart"/>
      <w:r w:rsidR="00A74F63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>den passendsten Erkrankung</w:t>
      </w:r>
      <w:proofErr w:type="gramEnd"/>
      <w:r w:rsidR="00A74F63" w:rsidRPr="00BD7CCF">
        <w:rPr>
          <w:rStyle w:val="tlid-translation"/>
          <w:rFonts w:asciiTheme="minorHAnsi" w:hAnsiTheme="minorHAnsi" w:cstheme="minorHAnsi"/>
          <w:b/>
          <w:sz w:val="22"/>
          <w:szCs w:val="22"/>
          <w:lang w:val="de-DE"/>
        </w:rPr>
        <w:t xml:space="preserve">/en zu. </w:t>
      </w:r>
      <w:r w:rsidR="00A74F63" w:rsidRPr="00BD7CCF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Beachten Sie, dass „Keine davon“ möglicherweise die richtige Antwort ist. Sie können für jedes Bewertungsinstrument mehr als eine Erkrankung aus</w:t>
      </w:r>
      <w:r w:rsidR="00A74F63" w:rsidRPr="00CE550B">
        <w:rPr>
          <w:rStyle w:val="tlid-translation"/>
          <w:rFonts w:asciiTheme="minorHAnsi" w:hAnsiTheme="minorHAnsi" w:cstheme="minorHAnsi"/>
          <w:sz w:val="22"/>
          <w:szCs w:val="22"/>
          <w:lang w:val="de-DE"/>
        </w:rPr>
        <w:t>wählen.</w:t>
      </w:r>
    </w:p>
    <w:tbl>
      <w:tblPr>
        <w:tblStyle w:val="Tabellenraster"/>
        <w:tblW w:w="105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52"/>
        <w:gridCol w:w="1301"/>
        <w:gridCol w:w="1344"/>
        <w:gridCol w:w="1288"/>
        <w:gridCol w:w="266"/>
        <w:gridCol w:w="1190"/>
      </w:tblGrid>
      <w:tr w:rsidR="00143BCD" w:rsidRPr="00CE550B" w14:paraId="22624D21" w14:textId="77777777" w:rsidTr="00EF16E4">
        <w:trPr>
          <w:trHeight w:val="642"/>
        </w:trPr>
        <w:tc>
          <w:tcPr>
            <w:tcW w:w="5152" w:type="dxa"/>
          </w:tcPr>
          <w:p w14:paraId="79A181B9" w14:textId="526C97C6" w:rsidR="00143BCD" w:rsidRPr="00CE550B" w:rsidRDefault="00143BCD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          </w:t>
            </w: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Bewertungsinstrumente</w:t>
            </w:r>
            <w:proofErr w:type="spellEnd"/>
          </w:p>
        </w:tc>
        <w:tc>
          <w:tcPr>
            <w:tcW w:w="1301" w:type="dxa"/>
            <w:vAlign w:val="center"/>
          </w:tcPr>
          <w:p w14:paraId="43FA91EA" w14:textId="3EA35653" w:rsidR="00143BCD" w:rsidRPr="00CE550B" w:rsidRDefault="00143BCD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Delir</w:t>
            </w:r>
          </w:p>
        </w:tc>
        <w:tc>
          <w:tcPr>
            <w:tcW w:w="1344" w:type="dxa"/>
            <w:vAlign w:val="center"/>
          </w:tcPr>
          <w:p w14:paraId="7EBC93A6" w14:textId="28A87BCE" w:rsidR="00143BCD" w:rsidRPr="00CE550B" w:rsidRDefault="00143BCD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Demenz</w:t>
            </w:r>
            <w:proofErr w:type="spellEnd"/>
          </w:p>
        </w:tc>
        <w:tc>
          <w:tcPr>
            <w:tcW w:w="1288" w:type="dxa"/>
            <w:vAlign w:val="center"/>
          </w:tcPr>
          <w:p w14:paraId="237938C0" w14:textId="3BF9216A" w:rsidR="00143BCD" w:rsidRPr="00CE550B" w:rsidRDefault="00143BCD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Depression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C82D186" w14:textId="77777777" w:rsidR="00143BCD" w:rsidRPr="00CE550B" w:rsidRDefault="00143BCD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6E3CCA30" w14:textId="77777777" w:rsidR="00143BCD" w:rsidRPr="00CE550B" w:rsidRDefault="00143BCD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Keine</w:t>
            </w:r>
            <w:proofErr w:type="spellEnd"/>
          </w:p>
          <w:p w14:paraId="41ACEF3A" w14:textId="20A17CC8" w:rsidR="00143BCD" w:rsidRPr="00CE550B" w:rsidRDefault="00143BCD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davon</w:t>
            </w:r>
            <w:proofErr w:type="spellEnd"/>
          </w:p>
        </w:tc>
      </w:tr>
      <w:tr w:rsidR="00457492" w:rsidRPr="00CE550B" w14:paraId="2A0F8C7D" w14:textId="77777777" w:rsidTr="00EF16E4">
        <w:trPr>
          <w:trHeight w:val="642"/>
        </w:trPr>
        <w:tc>
          <w:tcPr>
            <w:tcW w:w="5152" w:type="dxa"/>
          </w:tcPr>
          <w:p w14:paraId="3E4EAE38" w14:textId="42A7F53D" w:rsidR="00457492" w:rsidRPr="00CE550B" w:rsidRDefault="00457492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Mini Mental State </w:t>
            </w: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Examination</w:t>
            </w:r>
            <w:proofErr w:type="spellEnd"/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(MMSE)</w:t>
            </w:r>
            <w:r w:rsidR="00143BCD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="00143BCD"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(Test zur Erfassung der kognitiven Fähigkeite</w:t>
            </w:r>
            <w:r w:rsidR="00D157EB"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</w:t>
            </w:r>
            <w:r w:rsidR="00143BCD"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1301" w:type="dxa"/>
            <w:vAlign w:val="center"/>
          </w:tcPr>
          <w:p w14:paraId="6B7E76BA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center"/>
          </w:tcPr>
          <w:p w14:paraId="6D9DBC59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1288" w:type="dxa"/>
            <w:vAlign w:val="center"/>
          </w:tcPr>
          <w:p w14:paraId="574F890F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9E0E2CA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2149DF7D" w14:textId="1733D0E0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457492" w:rsidRPr="00CE550B" w14:paraId="10930E40" w14:textId="77777777" w:rsidTr="00EF16E4">
        <w:trPr>
          <w:trHeight w:val="313"/>
        </w:trPr>
        <w:tc>
          <w:tcPr>
            <w:tcW w:w="5152" w:type="dxa"/>
          </w:tcPr>
          <w:p w14:paraId="318D553A" w14:textId="1C17FBB8" w:rsidR="00457492" w:rsidRPr="00CE550B" w:rsidRDefault="00457492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Glasgow Coma Scale (GCS)</w:t>
            </w:r>
          </w:p>
        </w:tc>
        <w:tc>
          <w:tcPr>
            <w:tcW w:w="1301" w:type="dxa"/>
            <w:vAlign w:val="center"/>
          </w:tcPr>
          <w:p w14:paraId="160B664B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center"/>
          </w:tcPr>
          <w:p w14:paraId="4E600504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88" w:type="dxa"/>
            <w:vAlign w:val="center"/>
          </w:tcPr>
          <w:p w14:paraId="54AD4604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44F8DB3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1663DFF2" w14:textId="036928D1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</w:t>
            </w:r>
          </w:p>
        </w:tc>
      </w:tr>
      <w:tr w:rsidR="00457492" w:rsidRPr="00CE550B" w14:paraId="6AAC0516" w14:textId="77777777" w:rsidTr="00EF16E4">
        <w:trPr>
          <w:trHeight w:val="642"/>
        </w:trPr>
        <w:tc>
          <w:tcPr>
            <w:tcW w:w="5152" w:type="dxa"/>
          </w:tcPr>
          <w:p w14:paraId="74965DBA" w14:textId="5F059998" w:rsidR="00457492" w:rsidRPr="00CE550B" w:rsidRDefault="00457492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Nursing Delirium Screening Scale (Nu-DESC)</w:t>
            </w:r>
          </w:p>
        </w:tc>
        <w:tc>
          <w:tcPr>
            <w:tcW w:w="1301" w:type="dxa"/>
            <w:vAlign w:val="center"/>
          </w:tcPr>
          <w:p w14:paraId="4796966A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center"/>
          </w:tcPr>
          <w:p w14:paraId="7715456F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88" w:type="dxa"/>
            <w:vAlign w:val="center"/>
          </w:tcPr>
          <w:p w14:paraId="0615A6DE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1FA24576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07AF49B9" w14:textId="2AFBF993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457492" w:rsidRPr="00CE550B" w14:paraId="4F49D82C" w14:textId="77777777" w:rsidTr="00EF16E4">
        <w:trPr>
          <w:trHeight w:val="313"/>
        </w:trPr>
        <w:tc>
          <w:tcPr>
            <w:tcW w:w="5152" w:type="dxa"/>
          </w:tcPr>
          <w:p w14:paraId="22C631F1" w14:textId="55C614D7" w:rsidR="00457492" w:rsidRPr="00CE550B" w:rsidRDefault="00457492" w:rsidP="00150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32"/>
              </w:tabs>
              <w:spacing w:line="288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Alcohol Withdrawal Scale (AWS)</w:t>
            </w:r>
            <w:r w:rsidR="00150F8C"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0F8C" w:rsidRPr="00CE55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150F8C" w:rsidRPr="00CE550B">
              <w:rPr>
                <w:rFonts w:asciiTheme="minorHAnsi" w:hAnsiTheme="minorHAnsi" w:cstheme="minorHAnsi"/>
                <w:sz w:val="22"/>
                <w:szCs w:val="22"/>
              </w:rPr>
              <w:t>Alkoholentzugsskala</w:t>
            </w:r>
            <w:proofErr w:type="spellEnd"/>
            <w:r w:rsidR="00150F8C" w:rsidRPr="00CE550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01" w:type="dxa"/>
            <w:vAlign w:val="center"/>
          </w:tcPr>
          <w:p w14:paraId="2876B52E" w14:textId="26016FDB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center"/>
          </w:tcPr>
          <w:p w14:paraId="6D117C40" w14:textId="7E169F08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88" w:type="dxa"/>
            <w:vAlign w:val="center"/>
          </w:tcPr>
          <w:p w14:paraId="52D89B96" w14:textId="44DFEE9E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169B620C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5AD5988A" w14:textId="2F4F772A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457492" w:rsidRPr="00CE550B" w14:paraId="54EAFA15" w14:textId="77777777" w:rsidTr="00EF16E4">
        <w:trPr>
          <w:trHeight w:val="627"/>
        </w:trPr>
        <w:tc>
          <w:tcPr>
            <w:tcW w:w="5152" w:type="dxa"/>
          </w:tcPr>
          <w:p w14:paraId="644C16C0" w14:textId="5BFE7709" w:rsidR="00457492" w:rsidRPr="00CE550B" w:rsidRDefault="00457492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Confusion Assessment Method (CAM)</w:t>
            </w:r>
            <w:r w:rsidR="00143BCD"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150F8C"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Confusion Assessment Method for Intensive Care Unit (CAM-ICU)</w:t>
            </w:r>
          </w:p>
        </w:tc>
        <w:tc>
          <w:tcPr>
            <w:tcW w:w="1301" w:type="dxa"/>
            <w:vAlign w:val="center"/>
          </w:tcPr>
          <w:p w14:paraId="5611A3F5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center"/>
          </w:tcPr>
          <w:p w14:paraId="7DCBD088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88" w:type="dxa"/>
            <w:vAlign w:val="center"/>
          </w:tcPr>
          <w:p w14:paraId="0F0BEC24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E9336A9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576EE8EF" w14:textId="620D2D64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457492" w:rsidRPr="00CE550B" w14:paraId="6D8D9407" w14:textId="77777777" w:rsidTr="00EF16E4">
        <w:trPr>
          <w:trHeight w:val="328"/>
        </w:trPr>
        <w:tc>
          <w:tcPr>
            <w:tcW w:w="5152" w:type="dxa"/>
          </w:tcPr>
          <w:p w14:paraId="5588C8A0" w14:textId="59013B0D" w:rsidR="00457492" w:rsidRPr="00CE550B" w:rsidRDefault="00457492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Beck-Depressions-</w:t>
            </w: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</w:rPr>
              <w:t>Inventar</w:t>
            </w:r>
            <w:proofErr w:type="spellEnd"/>
          </w:p>
        </w:tc>
        <w:tc>
          <w:tcPr>
            <w:tcW w:w="1301" w:type="dxa"/>
            <w:vAlign w:val="center"/>
          </w:tcPr>
          <w:p w14:paraId="7B858986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center"/>
          </w:tcPr>
          <w:p w14:paraId="4CF9CCFE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88" w:type="dxa"/>
            <w:vAlign w:val="center"/>
          </w:tcPr>
          <w:p w14:paraId="263A1B18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CCDB1B4" w14:textId="77777777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190" w:type="dxa"/>
            <w:vAlign w:val="center"/>
          </w:tcPr>
          <w:p w14:paraId="1E2E3400" w14:textId="60A4C95C" w:rsidR="00457492" w:rsidRPr="00CE550B" w:rsidRDefault="00457492" w:rsidP="000A140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</w:tbl>
    <w:p w14:paraId="7FB21B7B" w14:textId="74BF2B48" w:rsidR="000C7170" w:rsidRPr="00CE550B" w:rsidRDefault="000C7170" w:rsidP="00BD7CCF">
      <w:pPr>
        <w:pStyle w:val="a0"/>
        <w:shd w:val="clear" w:color="auto" w:fill="aut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EC53DA" w14:textId="77777777" w:rsidR="00425FFF" w:rsidRPr="00CE550B" w:rsidRDefault="00425FFF" w:rsidP="00BD7CCF">
      <w:pPr>
        <w:pStyle w:val="a0"/>
        <w:shd w:val="clear" w:color="auto" w:fill="aut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5CB8CD" w14:textId="77777777" w:rsidR="000C7170" w:rsidRPr="00CE550B" w:rsidRDefault="000C7170" w:rsidP="00BD7CC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E550B">
        <w:rPr>
          <w:rFonts w:asciiTheme="minorHAnsi" w:hAnsiTheme="minorHAnsi" w:cstheme="minorHAnsi"/>
          <w:b/>
          <w:sz w:val="22"/>
          <w:szCs w:val="22"/>
          <w:lang w:val="de-DE"/>
        </w:rPr>
        <w:t>Bitte beantworten Sie die nachfolgenden Aussagen durch Zustimmung, Ablehnung oder unsicher</w:t>
      </w:r>
    </w:p>
    <w:tbl>
      <w:tblPr>
        <w:tblStyle w:val="Tabellenraster"/>
        <w:tblW w:w="5039" w:type="pct"/>
        <w:tblLayout w:type="fixed"/>
        <w:tblLook w:val="0000" w:firstRow="0" w:lastRow="0" w:firstColumn="0" w:lastColumn="0" w:noHBand="0" w:noVBand="0"/>
      </w:tblPr>
      <w:tblGrid>
        <w:gridCol w:w="5098"/>
        <w:gridCol w:w="1933"/>
        <w:gridCol w:w="2036"/>
        <w:gridCol w:w="272"/>
        <w:gridCol w:w="1199"/>
      </w:tblGrid>
      <w:tr w:rsidR="00A16CCA" w:rsidRPr="00CE550B" w14:paraId="2F50D642" w14:textId="77777777" w:rsidTr="004C5476">
        <w:tc>
          <w:tcPr>
            <w:tcW w:w="2419" w:type="pct"/>
          </w:tcPr>
          <w:p w14:paraId="5E84A0D8" w14:textId="220F8D70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Schwankungen zwischen orientiert und desorientiert sind nicht typisch für ein Delir.</w:t>
            </w:r>
          </w:p>
        </w:tc>
        <w:tc>
          <w:tcPr>
            <w:tcW w:w="917" w:type="pct"/>
          </w:tcPr>
          <w:p w14:paraId="211B5769" w14:textId="16EC25AF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47233F37" w14:textId="293C7CF4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CBD" w14:textId="77777777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720517C3" w14:textId="44349036" w:rsidR="00A16CCA" w:rsidRPr="00CE550B" w:rsidRDefault="00A16CCA" w:rsidP="00F8166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CE550B" w14:paraId="29E44A16" w14:textId="77777777" w:rsidTr="004C5476">
        <w:tc>
          <w:tcPr>
            <w:tcW w:w="2419" w:type="pct"/>
          </w:tcPr>
          <w:p w14:paraId="4B38718D" w14:textId="565E3D81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Symptome einer Depression können einem</w:t>
            </w:r>
            <w:r w:rsidR="003C24FB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hypoaktiven</w:t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Delir ähneln.</w:t>
            </w:r>
          </w:p>
        </w:tc>
        <w:tc>
          <w:tcPr>
            <w:tcW w:w="917" w:type="pct"/>
          </w:tcPr>
          <w:p w14:paraId="4F690451" w14:textId="2371C76C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046F02E8" w14:textId="559D0DA9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7439F" w14:textId="77777777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75E8434F" w14:textId="585FDF52" w:rsidR="00A16CCA" w:rsidRPr="00CE550B" w:rsidRDefault="00A16CCA" w:rsidP="00F8166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CE550B" w14:paraId="55820756" w14:textId="77777777" w:rsidTr="004C5476">
        <w:tc>
          <w:tcPr>
            <w:tcW w:w="2419" w:type="pct"/>
          </w:tcPr>
          <w:p w14:paraId="35FB0090" w14:textId="1D5F0F5D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Behandlung eines Delirs beinhaltet immer die Sedierung.</w:t>
            </w:r>
          </w:p>
        </w:tc>
        <w:tc>
          <w:tcPr>
            <w:tcW w:w="917" w:type="pct"/>
          </w:tcPr>
          <w:p w14:paraId="79517498" w14:textId="62AAC432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32D76718" w14:textId="3EA39DEE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20D" w14:textId="77777777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29894746" w14:textId="3EBA2E1D" w:rsidR="00A16CCA" w:rsidRPr="00CE550B" w:rsidRDefault="00A16CCA" w:rsidP="00F8166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CE550B" w14:paraId="792A40BB" w14:textId="77777777" w:rsidTr="004C5476">
        <w:tc>
          <w:tcPr>
            <w:tcW w:w="2419" w:type="pct"/>
          </w:tcPr>
          <w:p w14:paraId="786056FD" w14:textId="5720B7BA" w:rsidR="00D157EB" w:rsidRPr="00CE550B" w:rsidRDefault="0039633F" w:rsidP="00F56467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Patienten können sich nicht</w:t>
            </w:r>
            <w:r w:rsidR="00A16CCA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an ein Delir erinnern.</w:t>
            </w:r>
          </w:p>
        </w:tc>
        <w:tc>
          <w:tcPr>
            <w:tcW w:w="917" w:type="pct"/>
          </w:tcPr>
          <w:p w14:paraId="22F62591" w14:textId="16AA6A13" w:rsidR="00A16CCA" w:rsidRPr="00CE550B" w:rsidRDefault="00A16CCA" w:rsidP="00BD7CCF">
            <w:pPr>
              <w:spacing w:line="288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5E03443B" w14:textId="4D5341C3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19CD4" w14:textId="77777777" w:rsidR="00A16CCA" w:rsidRPr="00CE550B" w:rsidRDefault="00A16CCA" w:rsidP="00BD7CCF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217E6F08" w14:textId="0091E317" w:rsidR="00A16CCA" w:rsidRPr="00CE550B" w:rsidRDefault="00A16CCA" w:rsidP="00F8166C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CE550B" w14:paraId="5FB6C264" w14:textId="77777777" w:rsidTr="004C5476">
        <w:tc>
          <w:tcPr>
            <w:tcW w:w="2419" w:type="pct"/>
          </w:tcPr>
          <w:p w14:paraId="63389CE8" w14:textId="5E1BECEF" w:rsidR="00D157EB" w:rsidRPr="00CE550B" w:rsidRDefault="00D157EB" w:rsidP="00CF7566">
            <w:pPr>
              <w:spacing w:line="288" w:lineRule="auto"/>
              <w:ind w:left="567" w:firstLine="2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Patienten mit einer mittelgradigen Demenz fallen im Gegensatz zu Patienten mit einem Delir durch eine Aufmerksamkeitsstörung auf.</w:t>
            </w:r>
          </w:p>
        </w:tc>
        <w:tc>
          <w:tcPr>
            <w:tcW w:w="917" w:type="pct"/>
          </w:tcPr>
          <w:p w14:paraId="0DE867A5" w14:textId="46F7749C" w:rsidR="00D157EB" w:rsidRPr="00CE550B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27DCE5FB" w14:textId="1E417032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F9B22" w14:textId="77777777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349F5619" w14:textId="4F79FABD" w:rsidR="00D157EB" w:rsidRPr="00CE550B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CE550B" w14:paraId="5F2E6F61" w14:textId="77777777" w:rsidTr="004C5476">
        <w:tc>
          <w:tcPr>
            <w:tcW w:w="2419" w:type="pct"/>
          </w:tcPr>
          <w:p w14:paraId="28814665" w14:textId="366F7FB2" w:rsidR="00D157EB" w:rsidRPr="00CE550B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lastRenderedPageBreak/>
              <w:tab/>
              <w:t>Ein*e Patient*in mit einer akut operierten Schenkelhalsfraktur hat ein niedrigeres Risiko wie ein*e Patient*in mit einer elektiven/ planmäßigen Hüftoperation.</w:t>
            </w:r>
          </w:p>
        </w:tc>
        <w:tc>
          <w:tcPr>
            <w:tcW w:w="917" w:type="pct"/>
          </w:tcPr>
          <w:p w14:paraId="02764D03" w14:textId="46CDFDDB" w:rsidR="00D157EB" w:rsidRPr="00CE550B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1C8DA0BD" w14:textId="0CA179A2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ABEE8" w14:textId="77777777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6CC500A4" w14:textId="30C55FD8" w:rsidR="00D157EB" w:rsidRPr="00CE550B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413B6125" w14:textId="77777777" w:rsidTr="004C5476">
        <w:tc>
          <w:tcPr>
            <w:tcW w:w="2419" w:type="pct"/>
          </w:tcPr>
          <w:p w14:paraId="1373CC2F" w14:textId="5359ADBF" w:rsidR="00D157EB" w:rsidRPr="00CE550B" w:rsidRDefault="00D157EB" w:rsidP="008A4BBD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 Delir dauert ni</w:t>
            </w:r>
            <w:r w:rsidR="008A4BBD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cht</w:t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länger als ein paar Stunden.</w:t>
            </w:r>
          </w:p>
        </w:tc>
        <w:tc>
          <w:tcPr>
            <w:tcW w:w="917" w:type="pct"/>
          </w:tcPr>
          <w:p w14:paraId="5C6CE8C9" w14:textId="30E49B5E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6D1BD5CE" w14:textId="5E8D267E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CBA7" w14:textId="77777777" w:rsidR="00D157EB" w:rsidRPr="00CE550B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1CA14F13" w14:textId="147A912B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18B99414" w14:textId="77777777" w:rsidTr="004C5476">
        <w:tc>
          <w:tcPr>
            <w:tcW w:w="2419" w:type="pct"/>
          </w:tcPr>
          <w:p w14:paraId="1E0A95D8" w14:textId="012723CD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Das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Delirrisiko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steigt mit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zunehmendem Alter.</w:t>
            </w:r>
          </w:p>
        </w:tc>
        <w:tc>
          <w:tcPr>
            <w:tcW w:w="917" w:type="pct"/>
          </w:tcPr>
          <w:p w14:paraId="17234B4D" w14:textId="457E1153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D30A7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3906A559" w14:textId="0CF85205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35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C64E9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1F01AF32" w14:textId="07D4A5E1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18A5ABC6" w14:textId="77777777" w:rsidTr="004C5476">
        <w:tc>
          <w:tcPr>
            <w:tcW w:w="2419" w:type="pct"/>
          </w:tcPr>
          <w:p w14:paraId="22729145" w14:textId="244FBB94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 Patient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in mit Seheinschränkung ist einem erhöhten </w:t>
            </w:r>
            <w:proofErr w:type="spellStart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Delirrisiko</w:t>
            </w:r>
            <w:proofErr w:type="spellEnd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ausgesetzt.</w:t>
            </w:r>
          </w:p>
        </w:tc>
        <w:tc>
          <w:tcPr>
            <w:tcW w:w="917" w:type="pct"/>
          </w:tcPr>
          <w:p w14:paraId="203BBAEB" w14:textId="060E67EC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0A7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454EE517" w14:textId="1DDA4B94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5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8A60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6113EFC8" w14:textId="1EE7ECA7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48556C09" w14:textId="77777777" w:rsidTr="004C5476">
        <w:tc>
          <w:tcPr>
            <w:tcW w:w="2419" w:type="pct"/>
          </w:tcPr>
          <w:p w14:paraId="26BB865A" w14:textId="54CFD4A5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Je mehr Medikamente ein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*e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Patient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*in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einnimmt, desto höher ist das </w:t>
            </w:r>
            <w:proofErr w:type="spellStart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Delirrisiko</w:t>
            </w:r>
            <w:proofErr w:type="spellEnd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7" w:type="pct"/>
          </w:tcPr>
          <w:p w14:paraId="031DDFC0" w14:textId="59B8BD4E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0A7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7FE92920" w14:textId="34BD673F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5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74F68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3A3E87AB" w14:textId="25BF5832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53901D07" w14:textId="77777777" w:rsidTr="004C5476">
        <w:tc>
          <w:tcPr>
            <w:tcW w:w="2419" w:type="pct"/>
          </w:tcPr>
          <w:p w14:paraId="101E70AF" w14:textId="7E7EBD6E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Ein Blasenverweilkatheter reduziert das </w:t>
            </w:r>
            <w:proofErr w:type="spellStart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Delirrisiko</w:t>
            </w:r>
            <w:proofErr w:type="spellEnd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7" w:type="pct"/>
          </w:tcPr>
          <w:p w14:paraId="7AD5B420" w14:textId="3DC1F6DD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16E9DB8F" w14:textId="7BE8A8AE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ECB89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111C929E" w14:textId="059E0913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CE550B" w14:paraId="55E198BE" w14:textId="77777777" w:rsidTr="004C5476">
        <w:tc>
          <w:tcPr>
            <w:tcW w:w="2419" w:type="pct"/>
          </w:tcPr>
          <w:p w14:paraId="7CCD2F09" w14:textId="0B03AF98" w:rsidR="00D157EB" w:rsidRPr="00BD7CCF" w:rsidRDefault="00D157EB" w:rsidP="00680654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Ein schlechter Ernährungszustand erhöht das </w:t>
            </w:r>
            <w:proofErr w:type="spellStart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Delirrisiko</w:t>
            </w:r>
            <w:proofErr w:type="spellEnd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7" w:type="pct"/>
          </w:tcPr>
          <w:p w14:paraId="66926128" w14:textId="65148936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440387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389F9763" w14:textId="1235DC8B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5612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71C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024483C5" w14:textId="0D7DAAAF" w:rsidR="00D157EB" w:rsidRPr="00955418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047F116D" w14:textId="77777777" w:rsidTr="004C5476">
        <w:tc>
          <w:tcPr>
            <w:tcW w:w="2419" w:type="pct"/>
          </w:tcPr>
          <w:p w14:paraId="4AAD81F2" w14:textId="3F695E30" w:rsidR="00D157EB" w:rsidRPr="00BD7CCF" w:rsidRDefault="00D157EB" w:rsidP="00680654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Demenz ist ein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wichti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ger Risikofaktor für ein Delir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7" w:type="pct"/>
          </w:tcPr>
          <w:p w14:paraId="7D5F0158" w14:textId="4FC39EA0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440387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27BB51F0" w14:textId="2505DEC9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5612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BEAB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26398985" w14:textId="725CA51A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955418" w14:paraId="78BE5F2F" w14:textId="77777777" w:rsidTr="004C5476">
        <w:tc>
          <w:tcPr>
            <w:tcW w:w="2419" w:type="pct"/>
          </w:tcPr>
          <w:p w14:paraId="2D4139F0" w14:textId="74CD04A8" w:rsidR="00D157EB" w:rsidRPr="00BD7CCF" w:rsidRDefault="00D157EB" w:rsidP="00680654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Dehydratation kann ein Risikofaktor für ein Delir sein.</w:t>
            </w:r>
          </w:p>
        </w:tc>
        <w:tc>
          <w:tcPr>
            <w:tcW w:w="917" w:type="pct"/>
          </w:tcPr>
          <w:p w14:paraId="3A586702" w14:textId="3559DBA7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E838AA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4CA2B4A3" w14:textId="4CC3982B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4E8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EFF1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14CD2086" w14:textId="4263C9FE" w:rsidR="00D157EB" w:rsidRPr="00955418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2BE98EB1" w14:textId="77777777" w:rsidTr="004C5476">
        <w:tc>
          <w:tcPr>
            <w:tcW w:w="2419" w:type="pct"/>
          </w:tcPr>
          <w:p w14:paraId="3A56862F" w14:textId="5B9BF582" w:rsidR="00D157EB" w:rsidRPr="00BD7CCF" w:rsidRDefault="00D157EB" w:rsidP="00024749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Eine Einschränkung des Hören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erhöht das Risiko für ein Delir.</w:t>
            </w:r>
          </w:p>
        </w:tc>
        <w:tc>
          <w:tcPr>
            <w:tcW w:w="917" w:type="pct"/>
          </w:tcPr>
          <w:p w14:paraId="24669982" w14:textId="34E8F0B6" w:rsidR="00D157EB" w:rsidRPr="00955418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E838AA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3B9F0EFB" w14:textId="64FB814B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E8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4071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26B86E36" w14:textId="4E299BC9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581DEDDD" w14:textId="77777777" w:rsidTr="004C5476">
        <w:tc>
          <w:tcPr>
            <w:tcW w:w="2419" w:type="pct"/>
          </w:tcPr>
          <w:p w14:paraId="7073ADDA" w14:textId="624D0DDE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 Patient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in,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der/ 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die teil</w:t>
            </w:r>
            <w:r w:rsidRPr="00BD7CCF">
              <w:rPr>
                <w:rStyle w:val="Kommentarzeichen"/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ahmslos und schwer zu erwecken ist, hat kein Delir.</w:t>
            </w:r>
          </w:p>
        </w:tc>
        <w:tc>
          <w:tcPr>
            <w:tcW w:w="917" w:type="pct"/>
          </w:tcPr>
          <w:p w14:paraId="20E16F6C" w14:textId="1F8A836A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57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4EBDDD72" w14:textId="7A005A68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2108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33C6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47D730DB" w14:textId="04957ED4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6F6AB644" w14:textId="77777777" w:rsidTr="004C5476">
        <w:tc>
          <w:tcPr>
            <w:tcW w:w="2419" w:type="pct"/>
          </w:tcPr>
          <w:p w14:paraId="0F3B2176" w14:textId="239934DC" w:rsidR="00D157EB" w:rsidRPr="00CE550B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Patienten mit einem Delir sind körperlich und/oder verbal aggressiv.</w:t>
            </w:r>
          </w:p>
        </w:tc>
        <w:tc>
          <w:tcPr>
            <w:tcW w:w="917" w:type="pct"/>
          </w:tcPr>
          <w:p w14:paraId="6A7F6E1A" w14:textId="78219A95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57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3411DD6E" w14:textId="668DB328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2108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DAAB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4273493C" w14:textId="0BE23A51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2733E8DC" w14:textId="77777777" w:rsidTr="004C5476">
        <w:tc>
          <w:tcPr>
            <w:tcW w:w="2419" w:type="pct"/>
          </w:tcPr>
          <w:p w14:paraId="6BDF3979" w14:textId="6B2F22E3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 Delir wird grundsätzlich durch einen Alkoholentzug verursacht.</w:t>
            </w:r>
          </w:p>
        </w:tc>
        <w:tc>
          <w:tcPr>
            <w:tcW w:w="917" w:type="pct"/>
          </w:tcPr>
          <w:p w14:paraId="6DACD103" w14:textId="3D91D002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57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0F6EB5FB" w14:textId="6D3B07DF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2108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F5E05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58AF3401" w14:textId="40489029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141C74E9" w14:textId="77777777" w:rsidTr="004C5476">
        <w:tc>
          <w:tcPr>
            <w:tcW w:w="2419" w:type="pct"/>
          </w:tcPr>
          <w:p w14:paraId="0D791A24" w14:textId="2FD56B5D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Patienten mit einem Delir haben eine höhere Sterblichkeit.</w:t>
            </w:r>
          </w:p>
        </w:tc>
        <w:tc>
          <w:tcPr>
            <w:tcW w:w="917" w:type="pct"/>
          </w:tcPr>
          <w:p w14:paraId="79EC7EDD" w14:textId="012E3EC9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25E1A593" w14:textId="389CFEC8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25864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117A305A" w14:textId="4056C50D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46BFEC61" w14:textId="77777777" w:rsidTr="004C5476">
        <w:tc>
          <w:tcPr>
            <w:tcW w:w="2419" w:type="pct"/>
          </w:tcPr>
          <w:p w14:paraId="5BDF8BA5" w14:textId="0A0C697A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Verhaltensveränderungen im Tagesve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lauf sind typisch für ein Delir.</w:t>
            </w:r>
          </w:p>
        </w:tc>
        <w:tc>
          <w:tcPr>
            <w:tcW w:w="917" w:type="pct"/>
          </w:tcPr>
          <w:p w14:paraId="29FD310E" w14:textId="1C73FF57" w:rsidR="00D157EB" w:rsidRPr="00EF7D39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E33C5F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16BD0FBC" w14:textId="271BD123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774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D94CC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2D55DCED" w14:textId="747FF16B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1A0A67" w14:paraId="49DBCED0" w14:textId="77777777" w:rsidTr="004C5476">
        <w:tc>
          <w:tcPr>
            <w:tcW w:w="2419" w:type="pct"/>
          </w:tcPr>
          <w:p w14:paraId="4BDC2C1D" w14:textId="41B44BD3" w:rsidR="00D157EB" w:rsidRPr="00BD7CCF" w:rsidRDefault="00D157EB" w:rsidP="00680654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 Patient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*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in mit einem Delir kann mit einer höheren Wahrscheinlichkeit leicht abgelenkt werden</w:t>
            </w:r>
            <w:r w:rsidR="001A0A67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17" w:type="pct"/>
          </w:tcPr>
          <w:p w14:paraId="58953D6F" w14:textId="0418116A" w:rsidR="00D157EB" w:rsidRPr="001A0A67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E33C5F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151BFA46" w14:textId="49301AE2" w:rsidR="00D157EB" w:rsidRPr="001A0A67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5774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12078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2816A3FC" w14:textId="00224AED" w:rsidR="00D157EB" w:rsidRPr="001A0A67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7EE26712" w14:textId="77777777" w:rsidTr="004C5476">
        <w:tc>
          <w:tcPr>
            <w:tcW w:w="2419" w:type="pct"/>
          </w:tcPr>
          <w:p w14:paraId="1099E359" w14:textId="681560C9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Bei P</w:t>
            </w:r>
            <w:r w:rsidR="00CF3CD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atienten mit Delir </w:t>
            </w:r>
            <w:r w:rsidR="00CF3CD6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treten keine</w:t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Wahrnehmungsstörungen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auf.</w:t>
            </w:r>
          </w:p>
        </w:tc>
        <w:tc>
          <w:tcPr>
            <w:tcW w:w="917" w:type="pct"/>
          </w:tcPr>
          <w:p w14:paraId="7AB38261" w14:textId="5A594F6B" w:rsidR="00D157EB" w:rsidRPr="001A0A67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CF3CD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6415322E" w14:textId="4C7D3AE0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D6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E449F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688BD555" w14:textId="4667622D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D157EB" w:rsidRPr="00BD7CCF" w14:paraId="1AFAFFAF" w14:textId="77777777" w:rsidTr="004C5476">
        <w:tc>
          <w:tcPr>
            <w:tcW w:w="2419" w:type="pct"/>
          </w:tcPr>
          <w:p w14:paraId="4E9911AD" w14:textId="2DC9F12B" w:rsidR="00D157EB" w:rsidRPr="00BD7CCF" w:rsidRDefault="00D157EB" w:rsidP="00D157EB">
            <w:pPr>
              <w:spacing w:line="288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 veränderter Schlaf / Wach-R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ythmus kann ein Symptom für ein Delir sein.</w:t>
            </w:r>
          </w:p>
        </w:tc>
        <w:tc>
          <w:tcPr>
            <w:tcW w:w="917" w:type="pct"/>
          </w:tcPr>
          <w:p w14:paraId="614808AA" w14:textId="12DFE809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3C5F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6" w:type="pct"/>
            <w:tcBorders>
              <w:right w:val="single" w:sz="4" w:space="0" w:color="auto"/>
            </w:tcBorders>
          </w:tcPr>
          <w:p w14:paraId="338FA373" w14:textId="2696BD0D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774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125A9" w14:textId="77777777" w:rsidR="00D157EB" w:rsidRPr="00BD7CCF" w:rsidRDefault="00D157EB" w:rsidP="00D157EB">
            <w:pPr>
              <w:spacing w:line="288" w:lineRule="auto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14:paraId="0D09A0B5" w14:textId="150B4D4C" w:rsidR="00D157EB" w:rsidRPr="00BD7CCF" w:rsidRDefault="00D157EB" w:rsidP="00D157EB">
            <w:pPr>
              <w:spacing w:line="288" w:lineRule="auto"/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</w:tbl>
    <w:p w14:paraId="701FA7E4" w14:textId="5564A938" w:rsidR="00450B30" w:rsidRPr="00BD7CCF" w:rsidRDefault="00450B30" w:rsidP="00BD7CC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ellenraster"/>
        <w:tblW w:w="5058" w:type="pct"/>
        <w:tblLayout w:type="fixed"/>
        <w:tblLook w:val="0000" w:firstRow="0" w:lastRow="0" w:firstColumn="0" w:lastColumn="0" w:noHBand="0" w:noVBand="0"/>
      </w:tblPr>
      <w:tblGrid>
        <w:gridCol w:w="5100"/>
        <w:gridCol w:w="1936"/>
        <w:gridCol w:w="2031"/>
        <w:gridCol w:w="283"/>
        <w:gridCol w:w="1227"/>
      </w:tblGrid>
      <w:tr w:rsidR="00A16CCA" w:rsidRPr="00BD7CCF" w14:paraId="70D74EE0" w14:textId="77777777" w:rsidTr="00EF16E4">
        <w:trPr>
          <w:trHeight w:val="623"/>
        </w:trPr>
        <w:tc>
          <w:tcPr>
            <w:tcW w:w="2411" w:type="pct"/>
          </w:tcPr>
          <w:p w14:paraId="7B0E5A19" w14:textId="2D18613F" w:rsidR="00A16CCA" w:rsidRPr="00CE550B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Das Aufsetzen der Brille und d</w:t>
            </w:r>
            <w:r w:rsidR="0004448A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as Einsetzen der Hörgeräte wirken nicht</w:t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delirpräventiv</w:t>
            </w:r>
            <w:proofErr w:type="spellEnd"/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5" w:type="pct"/>
          </w:tcPr>
          <w:p w14:paraId="70A36BD0" w14:textId="6FE4149E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48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486BF8C8" w14:textId="76AA6661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04448A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6BBFF9A2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7133F1FC" w14:textId="55139820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15102D0A" w14:textId="77777777" w:rsidTr="00EF16E4">
        <w:trPr>
          <w:trHeight w:val="304"/>
        </w:trPr>
        <w:tc>
          <w:tcPr>
            <w:tcW w:w="2411" w:type="pct"/>
          </w:tcPr>
          <w:p w14:paraId="0EF9CACF" w14:textId="5FF481E6" w:rsidR="00A16CCA" w:rsidRPr="00CE550B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Ein Delir ist </w:t>
            </w:r>
            <w:r w:rsidR="00150F8C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durch nicht-pharmakologische Präventionsmaßnahmen </w:t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potentiell vermeidbar. </w:t>
            </w:r>
          </w:p>
        </w:tc>
        <w:tc>
          <w:tcPr>
            <w:tcW w:w="915" w:type="pct"/>
          </w:tcPr>
          <w:p w14:paraId="1FE61C2D" w14:textId="106A04CD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6F07CC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59D3ADEF" w14:textId="1B75F3DB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E47F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1C2ED159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28C47D85" w14:textId="3ED8BF47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44AA772F" w14:textId="77777777" w:rsidTr="00EF16E4">
        <w:trPr>
          <w:trHeight w:val="608"/>
        </w:trPr>
        <w:tc>
          <w:tcPr>
            <w:tcW w:w="2411" w:type="pct"/>
          </w:tcPr>
          <w:p w14:paraId="289C8451" w14:textId="371EB229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kognitive Aktivierung ist Teil der Delirprävention.</w:t>
            </w:r>
          </w:p>
        </w:tc>
        <w:tc>
          <w:tcPr>
            <w:tcW w:w="915" w:type="pct"/>
          </w:tcPr>
          <w:p w14:paraId="178CED4C" w14:textId="113DD11D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F07CC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1478363B" w14:textId="2E35B3FD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E47F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753C245F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62C5430F" w14:textId="4B2212E8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2817FB7C" w14:textId="77777777" w:rsidTr="00EF16E4">
        <w:trPr>
          <w:trHeight w:val="623"/>
        </w:trPr>
        <w:tc>
          <w:tcPr>
            <w:tcW w:w="2411" w:type="pct"/>
          </w:tcPr>
          <w:p w14:paraId="49AF57F7" w14:textId="1D287614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Eine ausreichende Flüssigkeitsaufnahme kann einem Delir entgegenwirken</w:t>
            </w:r>
          </w:p>
        </w:tc>
        <w:tc>
          <w:tcPr>
            <w:tcW w:w="915" w:type="pct"/>
          </w:tcPr>
          <w:p w14:paraId="66CE6E9A" w14:textId="16B3F90C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F07CC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1875FBEA" w14:textId="7CE05BD2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E47F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4C0F41AE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014DFE0D" w14:textId="1F4C4567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008F5A29" w14:textId="77777777" w:rsidTr="00EF16E4">
        <w:trPr>
          <w:trHeight w:val="623"/>
        </w:trPr>
        <w:tc>
          <w:tcPr>
            <w:tcW w:w="2411" w:type="pct"/>
          </w:tcPr>
          <w:p w14:paraId="74F1EA67" w14:textId="7DE76F4F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lastRenderedPageBreak/>
              <w:tab/>
              <w:t>Es ist empfehlenswert, verwirrte Menschen zu fixieren.</w:t>
            </w:r>
          </w:p>
        </w:tc>
        <w:tc>
          <w:tcPr>
            <w:tcW w:w="915" w:type="pct"/>
          </w:tcPr>
          <w:p w14:paraId="7FBA7118" w14:textId="6A56D1A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724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0" w:type="pct"/>
          </w:tcPr>
          <w:p w14:paraId="2E919357" w14:textId="203C507F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D135F2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0159A9F1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21CE408E" w14:textId="139CCC63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14B78499" w14:textId="77777777" w:rsidTr="00EF16E4">
        <w:trPr>
          <w:trHeight w:val="608"/>
        </w:trPr>
        <w:tc>
          <w:tcPr>
            <w:tcW w:w="2411" w:type="pct"/>
          </w:tcPr>
          <w:p w14:paraId="43345735" w14:textId="234AD941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Infektionsprävention ist Teil der Delirprävention.</w:t>
            </w:r>
          </w:p>
        </w:tc>
        <w:tc>
          <w:tcPr>
            <w:tcW w:w="915" w:type="pct"/>
          </w:tcPr>
          <w:p w14:paraId="4A026412" w14:textId="2E8D062C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E68E8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58C5DBE2" w14:textId="2DB29BE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A0158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112BB10A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399142AC" w14:textId="67D929F6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1C05DB26" w14:textId="77777777" w:rsidTr="00EF16E4">
        <w:trPr>
          <w:trHeight w:val="942"/>
        </w:trPr>
        <w:tc>
          <w:tcPr>
            <w:tcW w:w="2411" w:type="pct"/>
          </w:tcPr>
          <w:p w14:paraId="5442BCB8" w14:textId="5CD4029E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Das frühzeitige Entfernen von Venenverweilkatheter und Blasenkath</w:t>
            </w:r>
            <w:r w:rsidR="00DF7C6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et</w:t>
            </w: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er können der Entstehung eines Delirs entgegenwirken.</w:t>
            </w:r>
          </w:p>
        </w:tc>
        <w:tc>
          <w:tcPr>
            <w:tcW w:w="915" w:type="pct"/>
          </w:tcPr>
          <w:p w14:paraId="1F4EB158" w14:textId="75CBAE9C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E68E8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28F62FEC" w14:textId="69F08FD1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A0158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5A1F1D4E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079937FF" w14:textId="54339670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6C17DF58" w14:textId="77777777" w:rsidTr="00EF16E4">
        <w:trPr>
          <w:trHeight w:val="608"/>
        </w:trPr>
        <w:tc>
          <w:tcPr>
            <w:tcW w:w="2411" w:type="pct"/>
          </w:tcPr>
          <w:p w14:paraId="1CA79A73" w14:textId="4BAD5035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mehrmals tägliche Förderung der Mobilität ist eine wesentlicher Teil der Delirprävention.</w:t>
            </w:r>
          </w:p>
        </w:tc>
        <w:tc>
          <w:tcPr>
            <w:tcW w:w="915" w:type="pct"/>
          </w:tcPr>
          <w:p w14:paraId="64DCE346" w14:textId="0A0CF7E3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E68E8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0907E8CC" w14:textId="071B510B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A0158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752DF892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0F7A90F6" w14:textId="76B41246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4A977EA3" w14:textId="77777777" w:rsidTr="00EF16E4">
        <w:trPr>
          <w:trHeight w:val="927"/>
        </w:trPr>
        <w:tc>
          <w:tcPr>
            <w:tcW w:w="2411" w:type="pct"/>
          </w:tcPr>
          <w:p w14:paraId="70478D23" w14:textId="5EFB02D6" w:rsidR="00A16CCA" w:rsidRPr="00BD7CCF" w:rsidRDefault="00A16CCA" w:rsidP="00BD7CCF">
            <w:pPr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Orientierungsförderung durch Kalender/ Uhr oder Fotos ist keine Maßnahme der Delirprävention.</w:t>
            </w:r>
          </w:p>
        </w:tc>
        <w:tc>
          <w:tcPr>
            <w:tcW w:w="915" w:type="pct"/>
          </w:tcPr>
          <w:p w14:paraId="03FE7932" w14:textId="250CD752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5183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0" w:type="pct"/>
          </w:tcPr>
          <w:p w14:paraId="547C21D8" w14:textId="5FDA012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026EBF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1935C0DD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392B3B87" w14:textId="7FA5DDAA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39508690" w14:textId="77777777" w:rsidTr="00EF16E4">
        <w:trPr>
          <w:trHeight w:val="623"/>
        </w:trPr>
        <w:tc>
          <w:tcPr>
            <w:tcW w:w="2411" w:type="pct"/>
          </w:tcPr>
          <w:p w14:paraId="6A267985" w14:textId="7A5E44D3" w:rsidR="00A16CCA" w:rsidRPr="00BD7CCF" w:rsidRDefault="00A16CCA" w:rsidP="00BD7CCF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Schmerzen haben keinen Einfluss auf die </w:t>
            </w:r>
            <w:proofErr w:type="spellStart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Delirentstehung</w:t>
            </w:r>
            <w:proofErr w:type="spellEnd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5" w:type="pct"/>
          </w:tcPr>
          <w:p w14:paraId="6110D249" w14:textId="287F413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5183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0" w:type="pct"/>
          </w:tcPr>
          <w:p w14:paraId="5D6014BB" w14:textId="2B2B9166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026EBF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05D388F5" w14:textId="77777777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4A083E72" w14:textId="3E34ACBC" w:rsidR="00A16CCA" w:rsidRPr="00BD7CCF" w:rsidRDefault="00A16CCA" w:rsidP="00F8166C">
            <w:pPr>
              <w:spacing w:line="288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4450069C" w14:textId="77777777" w:rsidTr="00EF16E4">
        <w:trPr>
          <w:trHeight w:val="623"/>
        </w:trPr>
        <w:tc>
          <w:tcPr>
            <w:tcW w:w="2411" w:type="pct"/>
          </w:tcPr>
          <w:p w14:paraId="3DE076C2" w14:textId="1E4E19AB" w:rsidR="00A16CCA" w:rsidRPr="00BD7CCF" w:rsidRDefault="00A16CCA" w:rsidP="00BD7CCF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 xml:space="preserve">Die Prüfung der Medikation ist ein wichtiger Bestandteil der </w:t>
            </w:r>
            <w:proofErr w:type="spellStart"/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Delirpävention</w:t>
            </w:r>
            <w:proofErr w:type="spellEnd"/>
            <w:r w:rsidR="00AD1A5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="00AD1A58"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und bei der Suche nach der Ursache eines Delirs</w:t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15" w:type="pct"/>
          </w:tcPr>
          <w:p w14:paraId="6738D5ED" w14:textId="515682F1" w:rsidR="00A16CCA" w:rsidRPr="00BD7CCF" w:rsidRDefault="00EF7D39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EF7D3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0A73E30E" w14:textId="2614A25B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41A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0A1E3569" w14:textId="77777777" w:rsidR="00A16CCA" w:rsidRPr="00BD7CCF" w:rsidRDefault="00A16CCA" w:rsidP="00BD7CC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1ADA5087" w14:textId="1F39DE9F" w:rsidR="00A16CCA" w:rsidRPr="00BD7CCF" w:rsidRDefault="00A16CCA" w:rsidP="00F816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0F851C17" w14:textId="77777777" w:rsidTr="00EF16E4">
        <w:trPr>
          <w:trHeight w:val="608"/>
        </w:trPr>
        <w:tc>
          <w:tcPr>
            <w:tcW w:w="2411" w:type="pct"/>
          </w:tcPr>
          <w:p w14:paraId="70FBDBFA" w14:textId="478AC60D" w:rsidR="00A16CCA" w:rsidRPr="00BD7CCF" w:rsidRDefault="00F14204" w:rsidP="00BD7CCF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Die Frühmobilis</w:t>
            </w:r>
            <w:r w:rsidR="00A16CCA"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ation kann das </w:t>
            </w:r>
            <w:proofErr w:type="spellStart"/>
            <w:r w:rsidR="00A16CCA"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Delirrisiko</w:t>
            </w:r>
            <w:proofErr w:type="spellEnd"/>
            <w:r w:rsidR="00A16CCA"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verringern.</w:t>
            </w:r>
          </w:p>
        </w:tc>
        <w:tc>
          <w:tcPr>
            <w:tcW w:w="915" w:type="pct"/>
          </w:tcPr>
          <w:p w14:paraId="0932FD56" w14:textId="5B88F9CA" w:rsidR="00A16CCA" w:rsidRPr="00EF7D39" w:rsidRDefault="00EF7D39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EF7D3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042D74EF" w14:textId="5FE71F8A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41A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746A30D9" w14:textId="77777777" w:rsidR="00A16CCA" w:rsidRPr="00BD7CCF" w:rsidRDefault="00A16CCA" w:rsidP="00BD7CC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5EEB9A23" w14:textId="43F3A0BC" w:rsidR="00A16CCA" w:rsidRPr="00BD7CCF" w:rsidRDefault="00A16CCA" w:rsidP="00F816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173E698D" w14:textId="77777777" w:rsidTr="00EF16E4">
        <w:trPr>
          <w:trHeight w:val="623"/>
        </w:trPr>
        <w:tc>
          <w:tcPr>
            <w:tcW w:w="2411" w:type="pct"/>
          </w:tcPr>
          <w:p w14:paraId="714DE464" w14:textId="071E549D" w:rsidR="00A16CCA" w:rsidRPr="00BD7CCF" w:rsidRDefault="00A16CCA" w:rsidP="00CE550B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Der Einbezug von An- und Zugehörigen ist notwendig, um ein Delir zu vermeiden.</w:t>
            </w:r>
          </w:p>
        </w:tc>
        <w:tc>
          <w:tcPr>
            <w:tcW w:w="915" w:type="pct"/>
          </w:tcPr>
          <w:p w14:paraId="543FCB22" w14:textId="4E524E8D" w:rsidR="00A16CCA" w:rsidRPr="001A0A67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highlight w:val="red"/>
                <w:lang w:val="de-DE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2E60CC77" w14:textId="5FA416A3" w:rsidR="00A16CCA" w:rsidRPr="00CE550B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57C67BCB" w14:textId="77777777" w:rsidR="00A16CCA" w:rsidRPr="00BD7CCF" w:rsidRDefault="00A16CCA" w:rsidP="00BD7CC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5290C766" w14:textId="28E0EBE5" w:rsidR="00A16CCA" w:rsidRPr="00BD7CCF" w:rsidRDefault="00A16CCA" w:rsidP="00F816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BD7CCF" w14:paraId="556245E2" w14:textId="77777777" w:rsidTr="00EF16E4">
        <w:trPr>
          <w:trHeight w:val="608"/>
        </w:trPr>
        <w:tc>
          <w:tcPr>
            <w:tcW w:w="2411" w:type="pct"/>
          </w:tcPr>
          <w:p w14:paraId="0461242E" w14:textId="5B900CA6" w:rsidR="00A16CCA" w:rsidRPr="00BD7CCF" w:rsidRDefault="00A16CCA" w:rsidP="00BD7CCF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Eine ausreichende Ernährung ist von Vorteil bei der Vermeidung des Delirs.</w:t>
            </w:r>
          </w:p>
        </w:tc>
        <w:tc>
          <w:tcPr>
            <w:tcW w:w="915" w:type="pct"/>
          </w:tcPr>
          <w:p w14:paraId="1DB5A54C" w14:textId="3282C7E0" w:rsidR="00A16CCA" w:rsidRPr="00BD7CCF" w:rsidRDefault="00410E1B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EF7D3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zu</w:t>
            </w:r>
          </w:p>
        </w:tc>
        <w:tc>
          <w:tcPr>
            <w:tcW w:w="960" w:type="pct"/>
          </w:tcPr>
          <w:p w14:paraId="5C930B02" w14:textId="57A27195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44973EFE" w14:textId="77777777" w:rsidR="00A16CCA" w:rsidRPr="00BD7CCF" w:rsidRDefault="00A16CCA" w:rsidP="00BD7CC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101A20A0" w14:textId="5AD8A74E" w:rsidR="00A16CCA" w:rsidRPr="00BD7CCF" w:rsidRDefault="00A16CCA" w:rsidP="00F816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D45B1D" w14:paraId="0A7AF2D4" w14:textId="77777777" w:rsidTr="00EF16E4">
        <w:trPr>
          <w:trHeight w:val="644"/>
        </w:trPr>
        <w:tc>
          <w:tcPr>
            <w:tcW w:w="2411" w:type="pct"/>
          </w:tcPr>
          <w:p w14:paraId="4A60555B" w14:textId="7A88F4BA" w:rsidR="00A16CCA" w:rsidRPr="00BD7CCF" w:rsidRDefault="00A16CCA" w:rsidP="00AB687F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</w:r>
            <w:r w:rsidR="001A0A67" w:rsidRPr="001A0A67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Bei Delir gefährdeten Pat</w:t>
            </w:r>
            <w:r w:rsidR="00AB687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ienten</w:t>
            </w:r>
            <w:r w:rsidR="001A0A67" w:rsidRPr="001A0A67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ist die physiologische Ausscheidung </w:t>
            </w:r>
            <w:r w:rsid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(Miktion und Defäkation) zu vernachlässigen.</w:t>
            </w:r>
          </w:p>
        </w:tc>
        <w:tc>
          <w:tcPr>
            <w:tcW w:w="915" w:type="pct"/>
          </w:tcPr>
          <w:p w14:paraId="6CB76A69" w14:textId="097DC3A2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Stimme zu</w:t>
            </w:r>
            <w:r w:rsidRPr="009849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60" w:type="pct"/>
          </w:tcPr>
          <w:p w14:paraId="537A1CA1" w14:textId="23B878F3" w:rsidR="00A16CCA" w:rsidRPr="00CE550B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E550B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4E6AB5E2" w14:textId="77777777" w:rsidR="00A16CCA" w:rsidRPr="00BD7CCF" w:rsidRDefault="00A16CCA" w:rsidP="00BD7CC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0EA92847" w14:textId="79586013" w:rsidR="00A16CCA" w:rsidRPr="00BD7CCF" w:rsidRDefault="00A16CCA" w:rsidP="00F816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  <w:tr w:rsidR="00A16CCA" w:rsidRPr="00F04FF7" w14:paraId="44F5CB91" w14:textId="77777777" w:rsidTr="00EF16E4">
        <w:trPr>
          <w:trHeight w:val="671"/>
        </w:trPr>
        <w:tc>
          <w:tcPr>
            <w:tcW w:w="2411" w:type="pct"/>
          </w:tcPr>
          <w:p w14:paraId="52ECF880" w14:textId="433244DF" w:rsidR="00A16CCA" w:rsidRPr="00BD7CCF" w:rsidRDefault="00A16CCA" w:rsidP="00CE550B">
            <w:pPr>
              <w:tabs>
                <w:tab w:val="left" w:pos="1640"/>
              </w:tabs>
              <w:spacing w:line="288" w:lineRule="auto"/>
              <w:ind w:left="596" w:hanging="59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</w:r>
            <w:r w:rsidRPr="00CE550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Die Förderung des Tag-Nacht-Rhythmus ist kein wesentlicher Bestandteil der Delirprävention.</w:t>
            </w:r>
            <w:r w:rsidR="001A0A67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15" w:type="pct"/>
          </w:tcPr>
          <w:p w14:paraId="68061CBE" w14:textId="3D2E62A3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849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Stimme zu </w:t>
            </w:r>
          </w:p>
        </w:tc>
        <w:tc>
          <w:tcPr>
            <w:tcW w:w="960" w:type="pct"/>
          </w:tcPr>
          <w:p w14:paraId="4D89817C" w14:textId="0D91DE33" w:rsidR="00A16CCA" w:rsidRPr="00BD7CCF" w:rsidRDefault="00A16CCA" w:rsidP="00BD7CCF">
            <w:pPr>
              <w:spacing w:line="288" w:lineRule="auto"/>
              <w:ind w:left="720" w:hanging="72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</w:pPr>
            <w:r w:rsidRPr="00823C59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>Stimme nicht zu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4E9A08C6" w14:textId="77777777" w:rsidR="00A16CCA" w:rsidRPr="00BD7CCF" w:rsidRDefault="00A16CCA" w:rsidP="00BD7CC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80" w:type="pct"/>
          </w:tcPr>
          <w:p w14:paraId="2F39516F" w14:textId="6ED0780A" w:rsidR="00A16CCA" w:rsidRPr="00731F6F" w:rsidRDefault="00A16CCA" w:rsidP="00F816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D7C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Unsicher</w:t>
            </w:r>
          </w:p>
        </w:tc>
      </w:tr>
    </w:tbl>
    <w:p w14:paraId="2160B647" w14:textId="5DD2CFD6" w:rsidR="00692A41" w:rsidRPr="00731F6F" w:rsidRDefault="00692A41" w:rsidP="00F5646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sectPr w:rsidR="00692A41" w:rsidRPr="00731F6F" w:rsidSect="00A16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5513" w16cex:dateUtc="2020-07-26T17:16:00Z"/>
  <w16cex:commentExtensible w16cex:durableId="22C854D3" w16cex:dateUtc="2020-07-26T17:15:00Z"/>
  <w16cex:commentExtensible w16cex:durableId="22C8549C" w16cex:dateUtc="2020-07-26T17:14:00Z"/>
  <w16cex:commentExtensible w16cex:durableId="22C8547D" w16cex:dateUtc="2020-07-26T17:14:00Z"/>
  <w16cex:commentExtensible w16cex:durableId="22C853ED" w16cex:dateUtc="2020-07-26T17:11:00Z"/>
  <w16cex:commentExtensible w16cex:durableId="22C85469" w16cex:dateUtc="2020-07-26T17:13:00Z"/>
  <w16cex:commentExtensible w16cex:durableId="22C8545A" w16cex:dateUtc="2020-07-26T17:13:00Z"/>
  <w16cex:commentExtensible w16cex:durableId="22C85411" w16cex:dateUtc="2020-07-26T17:12:00Z"/>
  <w16cex:commentExtensible w16cex:durableId="22C853B7" w16cex:dateUtc="2020-07-26T17:10:00Z"/>
  <w16cex:commentExtensible w16cex:durableId="22C85420" w16cex:dateUtc="2020-07-26T17:12:00Z"/>
  <w16cex:commentExtensible w16cex:durableId="22C85432" w16cex:dateUtc="2020-07-26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539333" w16cid:durableId="22C85513"/>
  <w16cid:commentId w16cid:paraId="29C8F100" w16cid:durableId="22C854D3"/>
  <w16cid:commentId w16cid:paraId="368633E9" w16cid:durableId="22C8549C"/>
  <w16cid:commentId w16cid:paraId="7DFBCD09" w16cid:durableId="22C8547D"/>
  <w16cid:commentId w16cid:paraId="61DB069A" w16cid:durableId="22C853ED"/>
  <w16cid:commentId w16cid:paraId="5C2932D5" w16cid:durableId="22C85469"/>
  <w16cid:commentId w16cid:paraId="002B6266" w16cid:durableId="22C8545A"/>
  <w16cid:commentId w16cid:paraId="556A2117" w16cid:durableId="22C85411"/>
  <w16cid:commentId w16cid:paraId="560ADB81" w16cid:durableId="22C853B7"/>
  <w16cid:commentId w16cid:paraId="34B04771" w16cid:durableId="22C85420"/>
  <w16cid:commentId w16cid:paraId="05A28C04" w16cid:durableId="22C854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AAE"/>
    <w:multiLevelType w:val="hybridMultilevel"/>
    <w:tmpl w:val="8B4C7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2CF4"/>
    <w:multiLevelType w:val="hybridMultilevel"/>
    <w:tmpl w:val="6C928D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50FA"/>
    <w:multiLevelType w:val="multilevel"/>
    <w:tmpl w:val="7B68C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AD5F15"/>
    <w:multiLevelType w:val="hybridMultilevel"/>
    <w:tmpl w:val="E86275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A70"/>
    <w:multiLevelType w:val="hybridMultilevel"/>
    <w:tmpl w:val="5F4AFF56"/>
    <w:lvl w:ilvl="0" w:tplc="B8787A4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B"/>
    <w:rsid w:val="000035AC"/>
    <w:rsid w:val="00024749"/>
    <w:rsid w:val="0004448A"/>
    <w:rsid w:val="000920C2"/>
    <w:rsid w:val="000A140C"/>
    <w:rsid w:val="000C440C"/>
    <w:rsid w:val="000C7170"/>
    <w:rsid w:val="000C7F7C"/>
    <w:rsid w:val="000D2A17"/>
    <w:rsid w:val="000D491C"/>
    <w:rsid w:val="000E1D99"/>
    <w:rsid w:val="000E4D07"/>
    <w:rsid w:val="000F2C19"/>
    <w:rsid w:val="000F35C9"/>
    <w:rsid w:val="001200DD"/>
    <w:rsid w:val="001223BA"/>
    <w:rsid w:val="00123F92"/>
    <w:rsid w:val="00137636"/>
    <w:rsid w:val="00143BCD"/>
    <w:rsid w:val="00150F8C"/>
    <w:rsid w:val="00191605"/>
    <w:rsid w:val="001A0A67"/>
    <w:rsid w:val="001C2C51"/>
    <w:rsid w:val="001D5760"/>
    <w:rsid w:val="00227B23"/>
    <w:rsid w:val="00232847"/>
    <w:rsid w:val="00254CFD"/>
    <w:rsid w:val="00292A4F"/>
    <w:rsid w:val="00292AA1"/>
    <w:rsid w:val="002B4A8C"/>
    <w:rsid w:val="002B606E"/>
    <w:rsid w:val="002D3532"/>
    <w:rsid w:val="002F2546"/>
    <w:rsid w:val="00307555"/>
    <w:rsid w:val="00324515"/>
    <w:rsid w:val="00383696"/>
    <w:rsid w:val="00390ED0"/>
    <w:rsid w:val="0039633F"/>
    <w:rsid w:val="003C24FB"/>
    <w:rsid w:val="003C6D3D"/>
    <w:rsid w:val="003D57DF"/>
    <w:rsid w:val="003E3364"/>
    <w:rsid w:val="004042D5"/>
    <w:rsid w:val="00410E1B"/>
    <w:rsid w:val="00416124"/>
    <w:rsid w:val="00425FFF"/>
    <w:rsid w:val="00432815"/>
    <w:rsid w:val="004436D7"/>
    <w:rsid w:val="004477E3"/>
    <w:rsid w:val="00450B30"/>
    <w:rsid w:val="00457492"/>
    <w:rsid w:val="00477FAC"/>
    <w:rsid w:val="004C36CF"/>
    <w:rsid w:val="004C5476"/>
    <w:rsid w:val="004F316B"/>
    <w:rsid w:val="004F6661"/>
    <w:rsid w:val="004F7756"/>
    <w:rsid w:val="005124C4"/>
    <w:rsid w:val="00516E7A"/>
    <w:rsid w:val="00517CBB"/>
    <w:rsid w:val="00542305"/>
    <w:rsid w:val="005434D5"/>
    <w:rsid w:val="005465E1"/>
    <w:rsid w:val="0055474F"/>
    <w:rsid w:val="005613F3"/>
    <w:rsid w:val="00565A15"/>
    <w:rsid w:val="005A305E"/>
    <w:rsid w:val="005A657E"/>
    <w:rsid w:val="005D6458"/>
    <w:rsid w:val="005F366C"/>
    <w:rsid w:val="00602EE8"/>
    <w:rsid w:val="006204A4"/>
    <w:rsid w:val="00625BE6"/>
    <w:rsid w:val="00630BFB"/>
    <w:rsid w:val="00637AAF"/>
    <w:rsid w:val="006445A5"/>
    <w:rsid w:val="006566A8"/>
    <w:rsid w:val="006612FC"/>
    <w:rsid w:val="006625CA"/>
    <w:rsid w:val="00662C5F"/>
    <w:rsid w:val="00673CE3"/>
    <w:rsid w:val="00680654"/>
    <w:rsid w:val="006811F0"/>
    <w:rsid w:val="006877EF"/>
    <w:rsid w:val="00692A41"/>
    <w:rsid w:val="0069366F"/>
    <w:rsid w:val="006A65C8"/>
    <w:rsid w:val="006B4FB1"/>
    <w:rsid w:val="006F1B6C"/>
    <w:rsid w:val="006F52E2"/>
    <w:rsid w:val="00703D53"/>
    <w:rsid w:val="007200B2"/>
    <w:rsid w:val="00720E47"/>
    <w:rsid w:val="00723681"/>
    <w:rsid w:val="00731F6F"/>
    <w:rsid w:val="00736147"/>
    <w:rsid w:val="00744E40"/>
    <w:rsid w:val="00754359"/>
    <w:rsid w:val="00766B1A"/>
    <w:rsid w:val="007703A9"/>
    <w:rsid w:val="00770EF2"/>
    <w:rsid w:val="00773036"/>
    <w:rsid w:val="0077784E"/>
    <w:rsid w:val="0078097C"/>
    <w:rsid w:val="00785AAC"/>
    <w:rsid w:val="00796B80"/>
    <w:rsid w:val="007B3EF0"/>
    <w:rsid w:val="007F5314"/>
    <w:rsid w:val="00817410"/>
    <w:rsid w:val="008541E7"/>
    <w:rsid w:val="00867133"/>
    <w:rsid w:val="008A4BBD"/>
    <w:rsid w:val="008B63A9"/>
    <w:rsid w:val="008C21E2"/>
    <w:rsid w:val="008C34F3"/>
    <w:rsid w:val="008E506C"/>
    <w:rsid w:val="008E7311"/>
    <w:rsid w:val="008E7BC0"/>
    <w:rsid w:val="008F39F6"/>
    <w:rsid w:val="00904B69"/>
    <w:rsid w:val="0090586C"/>
    <w:rsid w:val="00915853"/>
    <w:rsid w:val="00925F22"/>
    <w:rsid w:val="00931418"/>
    <w:rsid w:val="00934BB6"/>
    <w:rsid w:val="00955418"/>
    <w:rsid w:val="009747FA"/>
    <w:rsid w:val="009A144B"/>
    <w:rsid w:val="009B147F"/>
    <w:rsid w:val="009C610E"/>
    <w:rsid w:val="009D4B18"/>
    <w:rsid w:val="009D700A"/>
    <w:rsid w:val="009E6C54"/>
    <w:rsid w:val="00A0040F"/>
    <w:rsid w:val="00A16CCA"/>
    <w:rsid w:val="00A22C08"/>
    <w:rsid w:val="00A25AC1"/>
    <w:rsid w:val="00A261BE"/>
    <w:rsid w:val="00A279A6"/>
    <w:rsid w:val="00A30232"/>
    <w:rsid w:val="00A304D1"/>
    <w:rsid w:val="00A558F1"/>
    <w:rsid w:val="00A60BCB"/>
    <w:rsid w:val="00A6472E"/>
    <w:rsid w:val="00A74F63"/>
    <w:rsid w:val="00AB687F"/>
    <w:rsid w:val="00AD18F5"/>
    <w:rsid w:val="00AD1A58"/>
    <w:rsid w:val="00AD73AB"/>
    <w:rsid w:val="00B027AA"/>
    <w:rsid w:val="00B02D7B"/>
    <w:rsid w:val="00B03E68"/>
    <w:rsid w:val="00B11F18"/>
    <w:rsid w:val="00BD6497"/>
    <w:rsid w:val="00BD6DBF"/>
    <w:rsid w:val="00BD7CCF"/>
    <w:rsid w:val="00BE597D"/>
    <w:rsid w:val="00C42BE1"/>
    <w:rsid w:val="00C45B99"/>
    <w:rsid w:val="00C773D5"/>
    <w:rsid w:val="00C80556"/>
    <w:rsid w:val="00CA075A"/>
    <w:rsid w:val="00CE550B"/>
    <w:rsid w:val="00CE7DDF"/>
    <w:rsid w:val="00CF066A"/>
    <w:rsid w:val="00CF3CD6"/>
    <w:rsid w:val="00CF7566"/>
    <w:rsid w:val="00D157EB"/>
    <w:rsid w:val="00D26EB3"/>
    <w:rsid w:val="00D31E8C"/>
    <w:rsid w:val="00D45B1D"/>
    <w:rsid w:val="00D46BCD"/>
    <w:rsid w:val="00D60127"/>
    <w:rsid w:val="00D90E03"/>
    <w:rsid w:val="00DA5132"/>
    <w:rsid w:val="00DF7C64"/>
    <w:rsid w:val="00E039EC"/>
    <w:rsid w:val="00E13C8E"/>
    <w:rsid w:val="00E21A72"/>
    <w:rsid w:val="00E22807"/>
    <w:rsid w:val="00E26ADC"/>
    <w:rsid w:val="00E37386"/>
    <w:rsid w:val="00E37564"/>
    <w:rsid w:val="00E47ADD"/>
    <w:rsid w:val="00E55F59"/>
    <w:rsid w:val="00E562E6"/>
    <w:rsid w:val="00E617BC"/>
    <w:rsid w:val="00EB7394"/>
    <w:rsid w:val="00EC4D06"/>
    <w:rsid w:val="00ED65D4"/>
    <w:rsid w:val="00EF16E4"/>
    <w:rsid w:val="00EF3C0A"/>
    <w:rsid w:val="00EF7300"/>
    <w:rsid w:val="00EF7D39"/>
    <w:rsid w:val="00F04FF7"/>
    <w:rsid w:val="00F05898"/>
    <w:rsid w:val="00F14204"/>
    <w:rsid w:val="00F30F29"/>
    <w:rsid w:val="00F32A57"/>
    <w:rsid w:val="00F56467"/>
    <w:rsid w:val="00F56877"/>
    <w:rsid w:val="00F8166C"/>
    <w:rsid w:val="00FA09B1"/>
    <w:rsid w:val="00FB55A2"/>
    <w:rsid w:val="00FD2AC1"/>
    <w:rsid w:val="00FF3A3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CDC8"/>
  <w15:chartTrackingRefBased/>
  <w15:docId w15:val="{EB3A0434-5232-467F-8287-FF928F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A60BCB"/>
  </w:style>
  <w:style w:type="paragraph" w:styleId="Listenabsatz">
    <w:name w:val="List Paragraph"/>
    <w:basedOn w:val="Standard"/>
    <w:uiPriority w:val="34"/>
    <w:qFormat/>
    <w:rsid w:val="00625B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5E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5E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5E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5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5E1"/>
    <w:rPr>
      <w:rFonts w:ascii="Segoe UI" w:eastAsia="Times New Roman" w:hAnsi="Segoe UI" w:cs="Segoe UI"/>
      <w:sz w:val="18"/>
      <w:szCs w:val="18"/>
      <w:lang w:val="en-AU" w:eastAsia="en-AU"/>
    </w:rPr>
  </w:style>
  <w:style w:type="character" w:customStyle="1" w:styleId="2">
    <w:name w:val="Основний текст (2)_"/>
    <w:basedOn w:val="Absatz-Standardschriftart"/>
    <w:link w:val="20"/>
    <w:rsid w:val="00A74F6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Standard"/>
    <w:link w:val="2"/>
    <w:rsid w:val="00A74F63"/>
    <w:pPr>
      <w:widowControl w:val="0"/>
      <w:shd w:val="clear" w:color="auto" w:fill="FFFFFF"/>
      <w:spacing w:after="240" w:line="250" w:lineRule="exact"/>
      <w:ind w:hanging="760"/>
    </w:pPr>
    <w:rPr>
      <w:rFonts w:eastAsia="Arial" w:cs="Arial"/>
      <w:sz w:val="21"/>
      <w:szCs w:val="21"/>
      <w:lang w:val="de-DE" w:eastAsia="en-US"/>
    </w:rPr>
  </w:style>
  <w:style w:type="character" w:customStyle="1" w:styleId="a">
    <w:name w:val="Підпис до таблиці_"/>
    <w:basedOn w:val="Absatz-Standardschriftart"/>
    <w:link w:val="a0"/>
    <w:rsid w:val="001223B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0">
    <w:name w:val="Підпис до таблиці"/>
    <w:basedOn w:val="Standard"/>
    <w:link w:val="a"/>
    <w:rsid w:val="001223BA"/>
    <w:pPr>
      <w:widowControl w:val="0"/>
      <w:shd w:val="clear" w:color="auto" w:fill="FFFFFF"/>
      <w:spacing w:line="0" w:lineRule="atLeast"/>
    </w:pPr>
    <w:rPr>
      <w:rFonts w:eastAsia="Arial" w:cs="Arial"/>
      <w:b/>
      <w:bCs/>
      <w:sz w:val="21"/>
      <w:szCs w:val="21"/>
      <w:lang w:val="de-DE" w:eastAsia="en-US"/>
    </w:rPr>
  </w:style>
  <w:style w:type="table" w:styleId="Tabellenraster">
    <w:name w:val="Table Grid"/>
    <w:basedOn w:val="NormaleTabelle"/>
    <w:uiPriority w:val="39"/>
    <w:rsid w:val="00A3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1470-39C4-4BCB-BB17-273D0C7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Zilezinski, Max</dc:creator>
  <cp:keywords/>
  <dc:description/>
  <cp:lastModifiedBy>Zilezinski, Max</cp:lastModifiedBy>
  <cp:revision>5</cp:revision>
  <cp:lastPrinted>2021-04-15T13:19:00Z</cp:lastPrinted>
  <dcterms:created xsi:type="dcterms:W3CDTF">2021-04-15T14:15:00Z</dcterms:created>
  <dcterms:modified xsi:type="dcterms:W3CDTF">2021-04-15T14:33:00Z</dcterms:modified>
  <cp:version>1</cp:version>
</cp:coreProperties>
</file>