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50"/>
        </w:tabs>
        <w:spacing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Online Supplement 1: Beschreibung der Fragebogenitems 1. Version</w:t>
      </w:r>
      <w:r w:rsidDel="00000000" w:rsidR="00000000" w:rsidRPr="00000000">
        <w:rPr>
          <w:rtl w:val="0"/>
        </w:rPr>
      </w:r>
    </w:p>
    <w:tbl>
      <w:tblPr>
        <w:tblStyle w:val="Table1"/>
        <w:tblW w:w="91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5"/>
        <w:gridCol w:w="2613"/>
        <w:gridCol w:w="4243"/>
        <w:tblGridChange w:id="0">
          <w:tblGrid>
            <w:gridCol w:w="2255"/>
            <w:gridCol w:w="2613"/>
            <w:gridCol w:w="4243"/>
          </w:tblGrid>
        </w:tblGridChange>
      </w:tblGrid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Itemnummer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Dimension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Fragestellung zu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Grundlagenwissen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Delirsymptomatik – Symptomkomplex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highlight w:val="dark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Screening- und Assessmentinstrumente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Delirsymptom – Orientierung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Hypoaktives Delir –</w:t>
            </w:r>
            <w:r w:rsidDel="00000000" w:rsidR="00000000" w:rsidRPr="00000000">
              <w:rPr>
                <w:rFonts w:ascii="Arial" w:cs="Arial" w:eastAsia="Arial" w:hAnsi="Arial"/>
                <w:color w:val="0070c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Depression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Delirbehandlung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– Sedierung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highlight w:val="dark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Delirverlauf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Instrument zur Diagnosestellung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highlight w:val="dark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Risikofaktor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Delirursache – Operation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highlight w:val="dark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Grundlagenwissen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Delirverlauf – Dauer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Risikofaktor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Alter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Sensorische Beeinträchtigung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Medikation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Blasenkatheter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highlight w:val="dark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Geschlecht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Ernährung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Demenz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17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Geschlecht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18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Diabetes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Flüssigkeit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Sensorische Beeinträchtigung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highlight w:val="dark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Übergewicht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Grundlagenwissen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Delirsymptom – Teilnahmslosigkeit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Delirsymptom – Aggressivität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Delirursache – Alkoholentzug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Delirfolge – erhöhte Sterblichkeit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Risikofaktor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highlight w:val="dark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Demenz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Grundlagenwissen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Delirsymptom – Fluktuation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Delirsymptom – Aufmerksamkeitsstörung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Delirsymptom – Wahrnehmungsstörungen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Delirsymptom – Tag-Nacht-Rhythmus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31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Präventionsmaßnahmen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Sensorische Beeinträchtigung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32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Maßnahmenbündel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Kognitive Aktivierung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Flüssigkeit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Mobilität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Grundlagenwissen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Freiheitseinschränkende Maßnahmen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Präventionsmaßnahmen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Infektion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Infektion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Mobilität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Orientierung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Risikofaktor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Schmerzen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Präventionsmaßnahmen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highlight w:val="dark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Medikation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Mobilität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An- und Zugehörige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Atmung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Ernährung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Ausscheidung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Tag-Nacht-Rhythmus</w:t>
            </w:r>
          </w:p>
        </w:tc>
      </w:tr>
    </w:tbl>
    <w:p w:rsidR="00000000" w:rsidDel="00000000" w:rsidP="00000000" w:rsidRDefault="00000000" w:rsidRPr="00000000" w14:paraId="00000097">
      <w:pPr>
        <w:tabs>
          <w:tab w:val="left" w:pos="7250"/>
        </w:tabs>
        <w:spacing w:line="240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9042400</wp:posOffset>
                </wp:positionV>
                <wp:extent cx="2978356" cy="294533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1585" y="3637496"/>
                          <a:ext cx="2968831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yellow"/>
                                <w:vertAlign w:val="baseline"/>
                              </w:rPr>
                              <w:t xml:space="preserve">gelb: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angepasste Items;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red"/>
                                <w:vertAlign w:val="baseline"/>
                              </w:rPr>
                              <w:t xml:space="preserve">rot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red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entfernte Items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9042400</wp:posOffset>
                </wp:positionV>
                <wp:extent cx="2978356" cy="294533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8356" cy="2945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9F4D9B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ellenraster">
    <w:name w:val="Table Grid"/>
    <w:basedOn w:val="NormaleTabelle"/>
    <w:uiPriority w:val="39"/>
    <w:rsid w:val="009F4D9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Zeilennummer">
    <w:name w:val="line number"/>
    <w:basedOn w:val="Absatz-Standardschriftart"/>
    <w:uiPriority w:val="99"/>
    <w:semiHidden w:val="1"/>
    <w:unhideWhenUsed w:val="1"/>
    <w:rsid w:val="009F4D9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hEJYVDSWw2UCVoUIolLEeZieA==">AMUW2mW/r2VrqblsG7euqDJ3PmKdwstjnlYFpbgj5B8M2ORPEASPtFumiUMkC9inpPCBdIrxlJ4Y0zvuOyLL2/YxuvMllenotLyDfnuWC88GMZeUDVX+VvuudfHXl6mSFbmOufF9Zrq2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2021-12-08T16:43:00Z</dcterms:created>
  <dc:creator>Zilezinski, Max</dc:creator>
</cp:coreProperties>
</file>